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D77" w:rsidRDefault="00545D77" w:rsidP="00545D77">
      <w:pPr>
        <w:pStyle w:val="berschrift1"/>
        <w:rPr>
          <w:rFonts w:ascii="Calibri" w:hAnsi="Calibri"/>
          <w:color w:val="auto"/>
        </w:rPr>
      </w:pPr>
      <w:bookmarkStart w:id="0" w:name="_Toc534719128"/>
      <w:r w:rsidRPr="004D0111">
        <w:rPr>
          <w:rFonts w:ascii="Calibri" w:hAnsi="Calibri"/>
          <w:b/>
          <w:color w:val="auto"/>
        </w:rPr>
        <w:t xml:space="preserve">Sachanalyse und didaktische Analyse Modul 8: </w:t>
      </w:r>
      <w:r w:rsidRPr="004D0111">
        <w:rPr>
          <w:rFonts w:ascii="Calibri" w:hAnsi="Calibri"/>
          <w:color w:val="auto"/>
        </w:rPr>
        <w:t>Städtische Mobilität in Zeiten des Klimawandels</w:t>
      </w:r>
      <w:bookmarkEnd w:id="0"/>
    </w:p>
    <w:p w:rsidR="00545D77" w:rsidRPr="009C7AC3" w:rsidRDefault="00545D77" w:rsidP="00545D77"/>
    <w:p w:rsidR="00545D77" w:rsidRPr="007B4343" w:rsidRDefault="00545D77" w:rsidP="00545D77">
      <w:pPr>
        <w:spacing w:line="240" w:lineRule="auto"/>
        <w:jc w:val="both"/>
        <w:rPr>
          <w:u w:val="single"/>
        </w:rPr>
      </w:pPr>
      <w:r w:rsidRPr="00C3490C">
        <w:t xml:space="preserve">Die Zunahme des Individualverkehrs stellt hohe Anforderungen an die Verkehrspolitik. </w:t>
      </w:r>
      <w:r>
        <w:t>Nicht nur auf planerischer Ebene ergeben sich Herausforderungen, sondern auch im Hinblick auf die Lärm- bzw. Luf</w:t>
      </w:r>
      <w:r>
        <w:t>t</w:t>
      </w:r>
      <w:r>
        <w:t>schadstoffbelastung und den erhöhten Ausstoß an Treibhausemissionen, der angesichts des Klimawa</w:t>
      </w:r>
      <w:r>
        <w:t>n</w:t>
      </w:r>
      <w:r>
        <w:t>dels verstärkt in den Fokus rückt. Bekannt ist, dass „die beobachtete Erwärmung der letzten 50 Jahre […</w:t>
      </w:r>
      <w:r>
        <w:rPr>
          <w:sz w:val="24"/>
        </w:rPr>
        <w:t>]</w:t>
      </w:r>
      <w:r>
        <w:t xml:space="preserve"> nur durch den durch anthropogene Emissionen erzeugten Anstieg im C0</w:t>
      </w:r>
      <w:r>
        <w:rPr>
          <w:vertAlign w:val="subscript"/>
        </w:rPr>
        <w:t>2</w:t>
      </w:r>
      <w:r>
        <w:t xml:space="preserve">-Gehalt der Atmosphäre erklärt werden kann </w:t>
      </w:r>
      <w:r>
        <w:rPr>
          <w:noProof/>
        </w:rPr>
        <w:t>(WBGU, 2014, S. 14)</w:t>
      </w:r>
      <w:r>
        <w:t xml:space="preserve">. </w:t>
      </w:r>
      <w:r w:rsidRPr="001533F7">
        <w:t>Der Energiesektor verursacht derzeit etwa zwei Drittel der Emissi</w:t>
      </w:r>
      <w:r w:rsidRPr="001533F7">
        <w:t>o</w:t>
      </w:r>
      <w:r w:rsidRPr="001533F7">
        <w:t>nen langlebiger Treibhausgase</w:t>
      </w:r>
      <w:r>
        <w:rPr>
          <w:noProof/>
        </w:rPr>
        <w:t xml:space="preserve"> (WBGU, 2011, S. 50),</w:t>
      </w:r>
      <w:r>
        <w:t xml:space="preserve"> v</w:t>
      </w:r>
      <w:r w:rsidRPr="001533F7">
        <w:t>on denen 20</w:t>
      </w:r>
      <w:r>
        <w:t> </w:t>
      </w:r>
      <w:r w:rsidRPr="001533F7">
        <w:t>% der anthropogenen CO</w:t>
      </w:r>
      <w:r w:rsidRPr="007A702C">
        <w:rPr>
          <w:vertAlign w:val="subscript"/>
        </w:rPr>
        <w:t>2</w:t>
      </w:r>
      <w:r w:rsidRPr="001533F7">
        <w:t>- Emissi</w:t>
      </w:r>
      <w:r w:rsidRPr="001533F7">
        <w:t>o</w:t>
      </w:r>
      <w:r w:rsidRPr="001533F7">
        <w:t xml:space="preserve">nen auf das Konto der Verkehrssysteme gehen </w:t>
      </w:r>
      <w:r>
        <w:rPr>
          <w:noProof/>
        </w:rPr>
        <w:t>(WBGU, 2011, S. 58)</w:t>
      </w:r>
      <w:r>
        <w:t xml:space="preserve">. Um die beschlossenen Klimaziele annähernd zu erreichen, muss besonders im Verkehrssektor gehandelt werden, hin zu einem </w:t>
      </w:r>
      <w:r w:rsidRPr="00C3490C">
        <w:t>ressou</w:t>
      </w:r>
      <w:r>
        <w:t>r</w:t>
      </w:r>
      <w:r>
        <w:t xml:space="preserve">censchonenden Verkehrssystem </w:t>
      </w:r>
      <w:r>
        <w:rPr>
          <w:noProof/>
        </w:rPr>
        <w:t>(Europäische Komission, 2011)</w:t>
      </w:r>
      <w:r>
        <w:t xml:space="preserve">. Bereits existierende Konzepte wie die </w:t>
      </w:r>
      <w:proofErr w:type="spellStart"/>
      <w:r>
        <w:t>Smartcity</w:t>
      </w:r>
      <w:proofErr w:type="spellEnd"/>
      <w:r>
        <w:t xml:space="preserve">, die z. B. intelligente Parkplatzsuche ermöglicht, oder alternative Fortbewegungsmittel spielen eine wichtige Rolle. Als Voraussetzung wird besonders die Verbesserung der bestehenden Infrastruktur gesehen. Dazu zählen z. B. der Ausbau der Fahrradwege und ein Netz an Ladesäulen für E-Fahrzeuge. </w:t>
      </w:r>
    </w:p>
    <w:p w:rsidR="00545D77" w:rsidRDefault="00545D77" w:rsidP="00545D77">
      <w:pPr>
        <w:spacing w:line="240" w:lineRule="auto"/>
        <w:jc w:val="both"/>
      </w:pPr>
      <w:r>
        <w:t xml:space="preserve">Das Modul ist nach dem didaktisch-dialektischen Dreiklang konzipiert, wodurch sich die drei Teile des Moduls in Beobachtungsraum, Laborraum und Handlungsraum gliedern. </w:t>
      </w:r>
      <w:r w:rsidRPr="00EC39FB">
        <w:t xml:space="preserve">Im Beobachtungsraum sollen die Jugendlichen </w:t>
      </w:r>
      <w:r>
        <w:t xml:space="preserve">Aspekte zwischen den Themenfeldern </w:t>
      </w:r>
      <w:r w:rsidRPr="000E656B">
        <w:t>Klimawandel und städtische Mobilität miteina</w:t>
      </w:r>
      <w:r w:rsidRPr="000E656B">
        <w:t>n</w:t>
      </w:r>
      <w:r w:rsidRPr="000E656B">
        <w:t xml:space="preserve">der </w:t>
      </w:r>
      <w:r>
        <w:t>verknüpfen</w:t>
      </w:r>
      <w:r w:rsidRPr="004C1A58">
        <w:t>. Auf Grundlage einer selbst gewählten Problemstellung untersuchen die Schüler</w:t>
      </w:r>
      <w:r>
        <w:t>innen und Schüler</w:t>
      </w:r>
      <w:r w:rsidRPr="004C1A58">
        <w:t xml:space="preserve"> ihr unmittelbares Umfeld. Dabei können sie z. B. den Fokus auf Fahrradwege, die Verkehr</w:t>
      </w:r>
      <w:r w:rsidRPr="004C1A58">
        <w:t>s</w:t>
      </w:r>
      <w:r w:rsidRPr="004C1A58">
        <w:t>situation vor der Schule</w:t>
      </w:r>
      <w:r>
        <w:t xml:space="preserve"> oder die Luftbelastung setzen. Im Laborraum werden mögliche Lösungsansätze für die Probleme thematisiert</w:t>
      </w:r>
      <w:r w:rsidRPr="00EC39FB">
        <w:t xml:space="preserve">, die den </w:t>
      </w:r>
      <w:r w:rsidRPr="004C1A58">
        <w:t>Schüler</w:t>
      </w:r>
      <w:r>
        <w:t>innen und Schüler</w:t>
      </w:r>
      <w:r w:rsidRPr="00EC39FB">
        <w:t xml:space="preserve"> durch die Untersuchungen aufgefallen sind. Mithilfe des Verkehrssimulationsspiels „Mobility“ wird eine </w:t>
      </w:r>
      <w:r>
        <w:t>virtuelle</w:t>
      </w:r>
      <w:r w:rsidRPr="00EC39FB">
        <w:t xml:space="preserve"> Stadt aufgebaut, bei der </w:t>
      </w:r>
      <w:r>
        <w:t>mit den</w:t>
      </w:r>
      <w:r w:rsidRPr="00EC39FB">
        <w:t xml:space="preserve"> vorliegenden Probleme</w:t>
      </w:r>
      <w:r>
        <w:t>n</w:t>
      </w:r>
      <w:r w:rsidRPr="00EC39FB">
        <w:t xml:space="preserve"> aus der realen Stadt umgangen </w:t>
      </w:r>
      <w:r>
        <w:t>wird</w:t>
      </w:r>
      <w:r w:rsidRPr="00EC39FB">
        <w:t xml:space="preserve">. Dabei treffen die </w:t>
      </w:r>
      <w:r w:rsidRPr="004C1A58">
        <w:t>Schüler</w:t>
      </w:r>
      <w:r>
        <w:t>innen und Schüler</w:t>
      </w:r>
      <w:r w:rsidRPr="00EC39FB">
        <w:t xml:space="preserve"> auf vielfältige</w:t>
      </w:r>
      <w:r>
        <w:t xml:space="preserve"> neue </w:t>
      </w:r>
      <w:r w:rsidRPr="00EC39FB">
        <w:t>Probleme, die ihnen das Spiel zurückmeldet. Dadurch soll darauf aufmer</w:t>
      </w:r>
      <w:r w:rsidRPr="00EC39FB">
        <w:t>k</w:t>
      </w:r>
      <w:r w:rsidRPr="00EC39FB">
        <w:t xml:space="preserve">sam gemacht werden, dass jeder Lösungsansatz durch </w:t>
      </w:r>
      <w:r>
        <w:t xml:space="preserve">Interdependenzen und </w:t>
      </w:r>
      <w:r w:rsidRPr="00EC39FB">
        <w:t>verschiedene Interesse</w:t>
      </w:r>
      <w:r w:rsidRPr="00EC39FB">
        <w:t>n</w:t>
      </w:r>
      <w:r w:rsidRPr="00EC39FB">
        <w:t xml:space="preserve">parteien an seine Grenzen </w:t>
      </w:r>
      <w:r>
        <w:t xml:space="preserve">stößt - </w:t>
      </w:r>
      <w:r w:rsidRPr="00EC39FB">
        <w:t xml:space="preserve">ei es das Geld, das während der Bauarbeiten </w:t>
      </w:r>
      <w:r>
        <w:t>knapp wird</w:t>
      </w:r>
      <w:r w:rsidRPr="00EC39FB">
        <w:t>, die Lärmb</w:t>
      </w:r>
      <w:r w:rsidRPr="00EC39FB">
        <w:t>e</w:t>
      </w:r>
      <w:r w:rsidRPr="00EC39FB">
        <w:t>lästigung der Einwohne</w:t>
      </w:r>
      <w:r>
        <w:t xml:space="preserve">r </w:t>
      </w:r>
      <w:r w:rsidRPr="00EC39FB">
        <w:t>oder die Geschwindigkeitsbegrenzungen, die unter</w:t>
      </w:r>
      <w:r>
        <w:t xml:space="preserve"> Umständen Staus verurs</w:t>
      </w:r>
      <w:r>
        <w:t>a</w:t>
      </w:r>
      <w:r>
        <w:t>chen.</w:t>
      </w:r>
      <w:r w:rsidRPr="00EC39FB">
        <w:t xml:space="preserve"> </w:t>
      </w:r>
      <w:r>
        <w:t>Dies führt</w:t>
      </w:r>
      <w:r w:rsidRPr="00EC39FB">
        <w:t xml:space="preserve"> den </w:t>
      </w:r>
      <w:r w:rsidRPr="004C1A58">
        <w:t>Schüler</w:t>
      </w:r>
      <w:r>
        <w:t>innen und Schüler</w:t>
      </w:r>
      <w:r w:rsidRPr="00EC39FB">
        <w:t xml:space="preserve"> vor Augen, dass jeder Lösungsansatz aus verschiedenen Blickwinkeln betrachtet werden muss, </w:t>
      </w:r>
      <w:r>
        <w:t>um eine allgemein umsetzbare Strategie zu konzipieren</w:t>
      </w:r>
      <w:r w:rsidRPr="00EC39FB">
        <w:t xml:space="preserve">. </w:t>
      </w:r>
      <w:r>
        <w:t xml:space="preserve">Um die gewonnen Daten und Erkenntnisse weiterzuverarbeiten, vertiefen die </w:t>
      </w:r>
      <w:r w:rsidRPr="004C1A58">
        <w:t>Schüler</w:t>
      </w:r>
      <w:r>
        <w:t>innen und Schüler ihr au</w:t>
      </w:r>
      <w:r>
        <w:t>s</w:t>
      </w:r>
      <w:r>
        <w:t xml:space="preserve">gesuchtes Thema mithilfe eines Materialheftes und Internetrecherchen im Handlungsraum. Am Ende präsentieren die </w:t>
      </w:r>
      <w:r w:rsidRPr="004C1A58">
        <w:t>Schüler</w:t>
      </w:r>
      <w:r>
        <w:t xml:space="preserve">innen und Schüler ihre Ergebnisse auf der Homepage </w:t>
      </w:r>
      <w:r w:rsidRPr="00EC39FB">
        <w:t>(</w:t>
      </w:r>
      <w:hyperlink r:id="rId4" w:history="1">
        <w:r w:rsidRPr="00EC39FB">
          <w:t>www.klimawandel-findet-stadt.de.tl</w:t>
        </w:r>
      </w:hyperlink>
      <w:r w:rsidRPr="00EC39FB">
        <w:t>),</w:t>
      </w:r>
      <w:r>
        <w:t xml:space="preserve"> um sie auch für Außenstehende zugänglich zu machen. D</w:t>
      </w:r>
      <w:r w:rsidRPr="00EC39FB">
        <w:t xml:space="preserve">ie Lösungsansätze </w:t>
      </w:r>
      <w:r>
        <w:t xml:space="preserve">können </w:t>
      </w:r>
      <w:r w:rsidRPr="00EC39FB">
        <w:t xml:space="preserve">im Plenum diskutiert </w:t>
      </w:r>
      <w:r>
        <w:t>oder</w:t>
      </w:r>
      <w:r w:rsidRPr="00EC39FB">
        <w:t xml:space="preserve"> mit einer Mitarbeiterin/ einem Mitarbeiter des Stadtplanungsamtes bespr</w:t>
      </w:r>
      <w:r w:rsidRPr="00EC39FB">
        <w:t>o</w:t>
      </w:r>
      <w:r w:rsidRPr="00EC39FB">
        <w:t>chen</w:t>
      </w:r>
      <w:r>
        <w:t xml:space="preserve"> werden</w:t>
      </w:r>
      <w:r w:rsidRPr="00EC39FB">
        <w:t>.</w:t>
      </w:r>
    </w:p>
    <w:p w:rsidR="00545D77" w:rsidRPr="001B55A6" w:rsidRDefault="00545D77" w:rsidP="00545D77">
      <w:pPr>
        <w:spacing w:line="240" w:lineRule="auto"/>
        <w:jc w:val="both"/>
        <w:rPr>
          <w:sz w:val="18"/>
        </w:rPr>
      </w:pPr>
      <w:r w:rsidRPr="001B55A6">
        <w:rPr>
          <w:sz w:val="18"/>
        </w:rPr>
        <w:t>Quellen:</w:t>
      </w:r>
    </w:p>
    <w:p w:rsidR="00545D77" w:rsidRPr="001B55A6" w:rsidRDefault="00545D77" w:rsidP="00545D77">
      <w:pPr>
        <w:pStyle w:val="Literaturverzeichnis"/>
        <w:ind w:left="720" w:hanging="720"/>
        <w:rPr>
          <w:noProof/>
          <w:sz w:val="20"/>
          <w:szCs w:val="24"/>
        </w:rPr>
      </w:pPr>
      <w:r w:rsidRPr="001B55A6">
        <w:rPr>
          <w:noProof/>
          <w:sz w:val="18"/>
        </w:rPr>
        <w:t xml:space="preserve">Europäische Komission. (2011). </w:t>
      </w:r>
      <w:r w:rsidRPr="001B55A6">
        <w:rPr>
          <w:i/>
          <w:iCs/>
          <w:noProof/>
          <w:sz w:val="18"/>
        </w:rPr>
        <w:t>Weißbuch zum Verkehr. Fahrplan zu einem einheitlichen europäischen Verkehrsraum – Hin zu einem wettbewerbsorientierten und ressourcenschonenden Verkehrssystem.</w:t>
      </w:r>
      <w:r w:rsidRPr="001B55A6">
        <w:rPr>
          <w:noProof/>
          <w:sz w:val="18"/>
        </w:rPr>
        <w:t xml:space="preserve"> Luxemburg: Amt für Veröffentlichungen der Europäischen Union .</w:t>
      </w:r>
    </w:p>
    <w:p w:rsidR="00545D77" w:rsidRPr="001B55A6" w:rsidRDefault="00545D77" w:rsidP="00545D77">
      <w:pPr>
        <w:pStyle w:val="Literaturverzeichnis"/>
        <w:ind w:left="720" w:hanging="720"/>
        <w:rPr>
          <w:noProof/>
          <w:sz w:val="18"/>
        </w:rPr>
      </w:pPr>
      <w:r w:rsidRPr="001B55A6">
        <w:rPr>
          <w:noProof/>
          <w:sz w:val="18"/>
        </w:rPr>
        <w:t xml:space="preserve">WBGU (Wissenschaftlicher Beirat der Bundesregierung Globale Umweltveränderungen). (2011). </w:t>
      </w:r>
      <w:r w:rsidRPr="001B55A6">
        <w:rPr>
          <w:i/>
          <w:iCs/>
          <w:noProof/>
          <w:sz w:val="18"/>
        </w:rPr>
        <w:t>Hauptgutachten: Welt im Wandel Gesellschaftsvertrag für eine große Transformation.</w:t>
      </w:r>
      <w:r w:rsidRPr="001B55A6">
        <w:rPr>
          <w:noProof/>
          <w:sz w:val="18"/>
        </w:rPr>
        <w:t xml:space="preserve"> Berlin: WBGU.</w:t>
      </w:r>
    </w:p>
    <w:p w:rsidR="00545D77" w:rsidRPr="001B55A6" w:rsidRDefault="00545D77" w:rsidP="00545D77">
      <w:pPr>
        <w:pStyle w:val="Literaturverzeichnis"/>
        <w:ind w:left="720" w:hanging="720"/>
        <w:rPr>
          <w:noProof/>
          <w:sz w:val="18"/>
        </w:rPr>
      </w:pPr>
      <w:r w:rsidRPr="001B55A6">
        <w:rPr>
          <w:noProof/>
          <w:sz w:val="18"/>
        </w:rPr>
        <w:t xml:space="preserve">WBGU (Wissenschaftlicher Beirat der Bundesregierung Globale Umweltveränderungen). (2014). </w:t>
      </w:r>
      <w:r w:rsidRPr="001B55A6">
        <w:rPr>
          <w:i/>
          <w:iCs/>
          <w:noProof/>
          <w:sz w:val="18"/>
        </w:rPr>
        <w:t>Sondergutachten: Klimaschutz als Weltbürger.</w:t>
      </w:r>
      <w:r w:rsidRPr="001B55A6">
        <w:rPr>
          <w:noProof/>
          <w:sz w:val="18"/>
        </w:rPr>
        <w:t xml:space="preserve"> Berlin: WBGU.</w:t>
      </w:r>
    </w:p>
    <w:p w:rsidR="004C17E8" w:rsidRPr="00545D77" w:rsidRDefault="00545D77" w:rsidP="00545D77">
      <w:pPr>
        <w:pStyle w:val="Literaturverzeichnis"/>
        <w:ind w:left="720" w:hanging="720"/>
        <w:rPr>
          <w:sz w:val="18"/>
        </w:rPr>
      </w:pPr>
      <w:r w:rsidRPr="001B55A6">
        <w:rPr>
          <w:noProof/>
          <w:sz w:val="18"/>
        </w:rPr>
        <w:t xml:space="preserve">WBGU (Wissenschaftlicher Beirat der Bundesregierung Globale Umweltveränderungen). (2014). </w:t>
      </w:r>
      <w:r w:rsidRPr="001B55A6">
        <w:rPr>
          <w:i/>
          <w:iCs/>
          <w:noProof/>
          <w:sz w:val="18"/>
        </w:rPr>
        <w:t>Sondergutachten</w:t>
      </w:r>
      <w:r>
        <w:rPr>
          <w:i/>
          <w:iCs/>
          <w:noProof/>
          <w:sz w:val="18"/>
        </w:rPr>
        <w:t>:</w:t>
      </w:r>
      <w:r w:rsidRPr="001B55A6">
        <w:rPr>
          <w:i/>
          <w:iCs/>
          <w:noProof/>
          <w:sz w:val="18"/>
        </w:rPr>
        <w:t xml:space="preserve"> Klimaschutz als Weltbürgerbewegung.</w:t>
      </w:r>
      <w:r w:rsidRPr="001B55A6">
        <w:rPr>
          <w:noProof/>
          <w:sz w:val="18"/>
        </w:rPr>
        <w:t xml:space="preserve"> Berlin: </w:t>
      </w:r>
      <w:r>
        <w:rPr>
          <w:noProof/>
          <w:sz w:val="18"/>
        </w:rPr>
        <w:t>WBGU</w:t>
      </w:r>
      <w:r w:rsidRPr="001B55A6">
        <w:rPr>
          <w:noProof/>
          <w:sz w:val="18"/>
        </w:rPr>
        <w:t>.</w:t>
      </w:r>
      <w:bookmarkStart w:id="1" w:name="_GoBack"/>
      <w:bookmarkEnd w:id="1"/>
    </w:p>
    <w:sectPr w:rsidR="004C17E8" w:rsidRPr="00545D7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D77"/>
    <w:rsid w:val="00124874"/>
    <w:rsid w:val="002C0A01"/>
    <w:rsid w:val="004C17E8"/>
    <w:rsid w:val="00545D77"/>
    <w:rsid w:val="007439A3"/>
    <w:rsid w:val="00843D73"/>
    <w:rsid w:val="00976D6E"/>
    <w:rsid w:val="00C858FA"/>
    <w:rsid w:val="00DB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BA13B3-007E-4CCF-A9A9-60F84EFE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5D77"/>
    <w:rPr>
      <w:rFonts w:ascii="Calibri" w:eastAsia="Calibri" w:hAnsi="Calibri" w:cs="Times New Roman"/>
    </w:rPr>
  </w:style>
  <w:style w:type="paragraph" w:styleId="berschrift1">
    <w:name w:val="heading 1"/>
    <w:basedOn w:val="Standard"/>
    <w:next w:val="Standard"/>
    <w:link w:val="berschrift1Zchn"/>
    <w:uiPriority w:val="9"/>
    <w:qFormat/>
    <w:rsid w:val="00545D77"/>
    <w:pPr>
      <w:keepNext/>
      <w:keepLines/>
      <w:spacing w:before="240" w:after="0"/>
      <w:outlineLvl w:val="0"/>
    </w:pPr>
    <w:rPr>
      <w:rFonts w:ascii="Calibri Light" w:eastAsia="Times New Roman" w:hAnsi="Calibri Light"/>
      <w:color w:val="2E74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5D77"/>
    <w:rPr>
      <w:rFonts w:ascii="Calibri Light" w:eastAsia="Times New Roman" w:hAnsi="Calibri Light" w:cs="Times New Roman"/>
      <w:color w:val="2E74B5"/>
      <w:sz w:val="32"/>
      <w:szCs w:val="32"/>
    </w:rPr>
  </w:style>
  <w:style w:type="paragraph" w:styleId="Literaturverzeichnis">
    <w:name w:val="Bibliography"/>
    <w:basedOn w:val="Standard"/>
    <w:next w:val="Standard"/>
    <w:uiPriority w:val="37"/>
    <w:unhideWhenUsed/>
    <w:rsid w:val="00545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limawandel-findet-stadt.de.t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luetje</dc:creator>
  <cp:keywords/>
  <dc:description/>
  <cp:lastModifiedBy>luetje</cp:lastModifiedBy>
  <cp:revision>1</cp:revision>
  <dcterms:created xsi:type="dcterms:W3CDTF">2019-01-15T14:23:00Z</dcterms:created>
  <dcterms:modified xsi:type="dcterms:W3CDTF">2019-01-15T14:23:00Z</dcterms:modified>
</cp:coreProperties>
</file>